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9D13" w14:textId="77777777" w:rsidR="00315B95" w:rsidRDefault="00315B95" w:rsidP="00315B95">
      <w:pPr>
        <w:jc w:val="center"/>
        <w:rPr>
          <w:rFonts w:ascii="Arial" w:hAnsi="Arial" w:cs="Arial"/>
          <w:sz w:val="72"/>
          <w:szCs w:val="72"/>
        </w:rPr>
      </w:pPr>
    </w:p>
    <w:p w14:paraId="1186615F" w14:textId="212D1DA6" w:rsidR="00315B95" w:rsidRPr="00315B95" w:rsidRDefault="00315B95" w:rsidP="00315B95">
      <w:pPr>
        <w:jc w:val="center"/>
        <w:rPr>
          <w:rFonts w:ascii="Arial" w:hAnsi="Arial" w:cs="Arial"/>
          <w:sz w:val="56"/>
          <w:szCs w:val="56"/>
        </w:rPr>
      </w:pPr>
      <w:r w:rsidRPr="00315B95">
        <w:drawing>
          <wp:inline distT="0" distB="0" distL="0" distR="0" wp14:anchorId="5AD73834" wp14:editId="79332058">
            <wp:extent cx="2876550" cy="2143125"/>
            <wp:effectExtent l="0" t="0" r="0" b="9525"/>
            <wp:docPr id="78514764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0889DB3-275D-4C64-B1DD-58950E5572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>
                      <a:extLst>
                        <a:ext uri="{FF2B5EF4-FFF2-40B4-BE49-F238E27FC236}">
                          <a16:creationId xmlns:a16="http://schemas.microsoft.com/office/drawing/2014/main" id="{B0889DB3-275D-4C64-B1DD-58950E5572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11" cy="214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58132" w14:textId="0E98A88A" w:rsidR="004E7B83" w:rsidRDefault="00315B95" w:rsidP="00315B95">
      <w:pPr>
        <w:jc w:val="center"/>
        <w:rPr>
          <w:rFonts w:ascii="Arial" w:hAnsi="Arial" w:cs="Arial"/>
          <w:sz w:val="56"/>
          <w:szCs w:val="56"/>
          <w:lang w:val="mn-MN"/>
        </w:rPr>
      </w:pPr>
      <w:r w:rsidRPr="00315B95">
        <w:rPr>
          <w:rFonts w:ascii="Arial" w:hAnsi="Arial" w:cs="Arial"/>
          <w:sz w:val="56"/>
          <w:szCs w:val="56"/>
        </w:rPr>
        <w:t xml:space="preserve">2024 </w:t>
      </w:r>
      <w:r w:rsidRPr="00315B95">
        <w:rPr>
          <w:rFonts w:ascii="Arial" w:hAnsi="Arial" w:cs="Arial"/>
          <w:sz w:val="56"/>
          <w:szCs w:val="56"/>
          <w:lang w:val="mn-MN"/>
        </w:rPr>
        <w:t xml:space="preserve">оны </w:t>
      </w:r>
      <w:r w:rsidRPr="00315B95">
        <w:rPr>
          <w:rFonts w:ascii="Arial" w:hAnsi="Arial" w:cs="Arial"/>
          <w:sz w:val="56"/>
          <w:szCs w:val="56"/>
        </w:rPr>
        <w:t>б</w:t>
      </w:r>
      <w:r w:rsidRPr="00315B95">
        <w:rPr>
          <w:rFonts w:ascii="Arial" w:hAnsi="Arial" w:cs="Arial"/>
          <w:sz w:val="56"/>
          <w:szCs w:val="56"/>
          <w:lang w:val="mn-MN"/>
        </w:rPr>
        <w:t>айгаль орчин менежментийн төлөвлөгөөний тайлан</w:t>
      </w:r>
    </w:p>
    <w:p w14:paraId="655D3C30" w14:textId="77777777" w:rsidR="00315B95" w:rsidRPr="00315B95" w:rsidRDefault="00315B95" w:rsidP="00315B95">
      <w:pPr>
        <w:rPr>
          <w:rFonts w:ascii="Arial" w:hAnsi="Arial" w:cs="Arial"/>
          <w:lang w:val="mn-MN"/>
        </w:rPr>
      </w:pPr>
    </w:p>
    <w:p w14:paraId="0D141A81" w14:textId="20D00894" w:rsidR="00315B95" w:rsidRPr="00315B95" w:rsidRDefault="00315B95" w:rsidP="00315B95">
      <w:pPr>
        <w:rPr>
          <w:rFonts w:ascii="Arial" w:hAnsi="Arial" w:cs="Arial"/>
          <w:lang w:val="mn-MN"/>
        </w:rPr>
      </w:pPr>
      <w:r w:rsidRPr="00315B95">
        <w:rPr>
          <w:rFonts w:ascii="Arial" w:hAnsi="Arial" w:cs="Arial"/>
          <w:lang w:val="mn-MN"/>
        </w:rPr>
        <w:t>Гүйцэтгэсэн</w:t>
      </w:r>
      <w:r w:rsidRPr="00315B95">
        <w:rPr>
          <w:rFonts w:ascii="Arial" w:hAnsi="Arial" w:cs="Arial"/>
        </w:rPr>
        <w:t xml:space="preserve">: </w:t>
      </w:r>
      <w:r w:rsidRPr="00315B95">
        <w:rPr>
          <w:rFonts w:ascii="Arial" w:hAnsi="Arial" w:cs="Arial"/>
          <w:lang w:val="mn-MN"/>
        </w:rPr>
        <w:t>ХЭА Б.Батболд</w:t>
      </w:r>
    </w:p>
    <w:p w14:paraId="6752B651" w14:textId="77777777" w:rsidR="00315B95" w:rsidRDefault="00315B95" w:rsidP="00315B95">
      <w:pPr>
        <w:jc w:val="center"/>
        <w:rPr>
          <w:rFonts w:ascii="Arial" w:hAnsi="Arial" w:cs="Arial"/>
          <w:sz w:val="56"/>
          <w:szCs w:val="56"/>
          <w:lang w:val="mn-MN"/>
        </w:rPr>
      </w:pPr>
    </w:p>
    <w:p w14:paraId="266ECA31" w14:textId="77777777" w:rsidR="00315B95" w:rsidRDefault="00315B95" w:rsidP="00315B95">
      <w:pPr>
        <w:jc w:val="center"/>
        <w:rPr>
          <w:rFonts w:ascii="Arial" w:hAnsi="Arial" w:cs="Arial"/>
          <w:sz w:val="56"/>
          <w:szCs w:val="56"/>
          <w:lang w:val="mn-MN"/>
        </w:rPr>
      </w:pPr>
    </w:p>
    <w:p w14:paraId="232339ED" w14:textId="77777777" w:rsidR="00315B95" w:rsidRDefault="00315B95" w:rsidP="00315B95">
      <w:pPr>
        <w:jc w:val="center"/>
        <w:rPr>
          <w:rFonts w:ascii="Arial" w:hAnsi="Arial" w:cs="Arial"/>
          <w:sz w:val="56"/>
          <w:szCs w:val="56"/>
          <w:lang w:val="mn-MN"/>
        </w:rPr>
      </w:pPr>
    </w:p>
    <w:p w14:paraId="24BCCA59" w14:textId="77777777" w:rsidR="00315B95" w:rsidRDefault="00315B95" w:rsidP="00315B95">
      <w:pPr>
        <w:jc w:val="center"/>
        <w:rPr>
          <w:rFonts w:ascii="Arial" w:hAnsi="Arial" w:cs="Arial"/>
          <w:sz w:val="56"/>
          <w:szCs w:val="56"/>
          <w:lang w:val="mn-MN"/>
        </w:rPr>
      </w:pPr>
    </w:p>
    <w:p w14:paraId="44F6C661" w14:textId="77777777" w:rsidR="001E3952" w:rsidRDefault="001E3952" w:rsidP="00315B95">
      <w:pPr>
        <w:jc w:val="center"/>
        <w:rPr>
          <w:rFonts w:ascii="Arial" w:hAnsi="Arial" w:cs="Arial"/>
          <w:sz w:val="56"/>
          <w:szCs w:val="56"/>
          <w:lang w:val="mn-MN"/>
        </w:rPr>
      </w:pPr>
    </w:p>
    <w:p w14:paraId="38A00AB9" w14:textId="4A256349" w:rsidR="00315B95" w:rsidRDefault="00315B95" w:rsidP="00315B95">
      <w:pPr>
        <w:jc w:val="center"/>
        <w:rPr>
          <w:rFonts w:ascii="Arial" w:hAnsi="Arial" w:cs="Arial"/>
          <w:sz w:val="56"/>
          <w:szCs w:val="56"/>
          <w:lang w:val="mn-MN"/>
        </w:rPr>
      </w:pPr>
      <w:r>
        <w:rPr>
          <w:rFonts w:ascii="Arial" w:hAnsi="Arial" w:cs="Arial"/>
          <w:sz w:val="56"/>
          <w:szCs w:val="56"/>
          <w:lang w:val="mn-MN"/>
        </w:rPr>
        <w:t>2025 он</w:t>
      </w:r>
    </w:p>
    <w:p w14:paraId="019C0D06" w14:textId="77777777" w:rsidR="00911D2E" w:rsidRDefault="00911D2E" w:rsidP="00315B95">
      <w:pPr>
        <w:rPr>
          <w:rFonts w:ascii="Arial" w:hAnsi="Arial" w:cs="Arial"/>
          <w:b/>
          <w:bCs/>
        </w:rPr>
      </w:pPr>
    </w:p>
    <w:p w14:paraId="21D75297" w14:textId="77777777" w:rsidR="00911D2E" w:rsidRDefault="00911D2E" w:rsidP="00315B95">
      <w:pPr>
        <w:rPr>
          <w:rFonts w:ascii="Arial" w:hAnsi="Arial" w:cs="Arial"/>
          <w:b/>
          <w:bCs/>
        </w:rPr>
      </w:pPr>
    </w:p>
    <w:p w14:paraId="033FF9EA" w14:textId="0DBD462D" w:rsidR="00911D2E" w:rsidRPr="00911D2E" w:rsidRDefault="00466622" w:rsidP="00315B95">
      <w:pPr>
        <w:rPr>
          <w:rFonts w:ascii="Arial" w:hAnsi="Arial" w:cs="Arial"/>
          <w:b/>
          <w:bCs/>
        </w:rPr>
      </w:pPr>
      <w:proofErr w:type="spellStart"/>
      <w:r w:rsidRPr="00911D2E">
        <w:rPr>
          <w:rFonts w:ascii="Arial" w:hAnsi="Arial" w:cs="Arial"/>
          <w:b/>
          <w:bCs/>
        </w:rPr>
        <w:t>Эрх</w:t>
      </w:r>
      <w:proofErr w:type="spellEnd"/>
      <w:r w:rsidRPr="00911D2E">
        <w:rPr>
          <w:rFonts w:ascii="Arial" w:hAnsi="Arial" w:cs="Arial"/>
          <w:b/>
          <w:bCs/>
        </w:rPr>
        <w:t xml:space="preserve"> </w:t>
      </w:r>
      <w:proofErr w:type="spellStart"/>
      <w:r w:rsidRPr="00911D2E">
        <w:rPr>
          <w:rFonts w:ascii="Arial" w:hAnsi="Arial" w:cs="Arial"/>
          <w:b/>
          <w:bCs/>
        </w:rPr>
        <w:t>зүйн</w:t>
      </w:r>
      <w:proofErr w:type="spellEnd"/>
      <w:r w:rsidRPr="00911D2E">
        <w:rPr>
          <w:rFonts w:ascii="Arial" w:hAnsi="Arial" w:cs="Arial"/>
          <w:b/>
          <w:bCs/>
        </w:rPr>
        <w:t xml:space="preserve"> </w:t>
      </w:r>
      <w:proofErr w:type="spellStart"/>
      <w:r w:rsidRPr="00911D2E">
        <w:rPr>
          <w:rFonts w:ascii="Arial" w:hAnsi="Arial" w:cs="Arial"/>
          <w:b/>
          <w:bCs/>
        </w:rPr>
        <w:t>үндэслэл</w:t>
      </w:r>
      <w:proofErr w:type="spellEnd"/>
    </w:p>
    <w:p w14:paraId="5A695DDC" w14:textId="77777777" w:rsidR="00911D2E" w:rsidRPr="00911D2E" w:rsidRDefault="00466622" w:rsidP="00315B95">
      <w:pPr>
        <w:rPr>
          <w:rFonts w:ascii="Arial" w:hAnsi="Arial" w:cs="Arial"/>
        </w:rPr>
      </w:pPr>
      <w:proofErr w:type="spellStart"/>
      <w:r w:rsidRPr="00911D2E">
        <w:rPr>
          <w:rFonts w:ascii="Arial" w:hAnsi="Arial" w:cs="Arial"/>
        </w:rPr>
        <w:t>Байгаль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орчинд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нөлөөлөх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байдлын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үнэлгээний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тухай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хуульд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зааснаар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төсөл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хэрэгжих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нутаг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дэвсгэрийн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байгаль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орчныг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хамгаалах</w:t>
      </w:r>
      <w:proofErr w:type="spellEnd"/>
      <w:r w:rsidRPr="00911D2E">
        <w:rPr>
          <w:rFonts w:ascii="Arial" w:hAnsi="Arial" w:cs="Arial"/>
        </w:rPr>
        <w:t xml:space="preserve">, </w:t>
      </w:r>
      <w:proofErr w:type="spellStart"/>
      <w:r w:rsidRPr="00911D2E">
        <w:rPr>
          <w:rFonts w:ascii="Arial" w:hAnsi="Arial" w:cs="Arial"/>
        </w:rPr>
        <w:t>зүй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зохистой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ашиглах</w:t>
      </w:r>
      <w:proofErr w:type="spellEnd"/>
      <w:r w:rsidRPr="00911D2E">
        <w:rPr>
          <w:rFonts w:ascii="Arial" w:hAnsi="Arial" w:cs="Arial"/>
        </w:rPr>
        <w:t xml:space="preserve">, </w:t>
      </w:r>
      <w:proofErr w:type="spellStart"/>
      <w:r w:rsidRPr="00911D2E">
        <w:rPr>
          <w:rFonts w:ascii="Arial" w:hAnsi="Arial" w:cs="Arial"/>
        </w:rPr>
        <w:t>нөхөн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сэргээх</w:t>
      </w:r>
      <w:proofErr w:type="spellEnd"/>
      <w:r w:rsidRPr="00911D2E">
        <w:rPr>
          <w:rFonts w:ascii="Arial" w:hAnsi="Arial" w:cs="Arial"/>
        </w:rPr>
        <w:t xml:space="preserve">, </w:t>
      </w:r>
      <w:proofErr w:type="spellStart"/>
      <w:r w:rsidRPr="00911D2E">
        <w:rPr>
          <w:rFonts w:ascii="Arial" w:hAnsi="Arial" w:cs="Arial"/>
        </w:rPr>
        <w:t>нөлөөллийн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нарийвчилсан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үнэлгээгээр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тогтоосон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сөрөг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нөлөөллийг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бууруулах</w:t>
      </w:r>
      <w:proofErr w:type="spellEnd"/>
      <w:r w:rsidRPr="00911D2E">
        <w:rPr>
          <w:rFonts w:ascii="Arial" w:hAnsi="Arial" w:cs="Arial"/>
        </w:rPr>
        <w:t xml:space="preserve">, </w:t>
      </w:r>
      <w:proofErr w:type="spellStart"/>
      <w:r w:rsidRPr="00911D2E">
        <w:rPr>
          <w:rFonts w:ascii="Arial" w:hAnsi="Arial" w:cs="Arial"/>
        </w:rPr>
        <w:t>арилгах</w:t>
      </w:r>
      <w:proofErr w:type="spellEnd"/>
      <w:r w:rsidRPr="00911D2E">
        <w:rPr>
          <w:rFonts w:ascii="Arial" w:hAnsi="Arial" w:cs="Arial"/>
        </w:rPr>
        <w:t xml:space="preserve">, </w:t>
      </w:r>
      <w:proofErr w:type="spellStart"/>
      <w:r w:rsidRPr="00911D2E">
        <w:rPr>
          <w:rFonts w:ascii="Arial" w:hAnsi="Arial" w:cs="Arial"/>
        </w:rPr>
        <w:t>урьдчилан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сэргийлэх</w:t>
      </w:r>
      <w:proofErr w:type="spellEnd"/>
      <w:r w:rsidRPr="00911D2E">
        <w:rPr>
          <w:rFonts w:ascii="Arial" w:hAnsi="Arial" w:cs="Arial"/>
        </w:rPr>
        <w:t xml:space="preserve">, </w:t>
      </w:r>
      <w:proofErr w:type="spellStart"/>
      <w:r w:rsidRPr="00911D2E">
        <w:rPr>
          <w:rFonts w:ascii="Arial" w:hAnsi="Arial" w:cs="Arial"/>
        </w:rPr>
        <w:t>төсөл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хэрэгжих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орчинд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бий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болж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болзошгүй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сөрөг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үр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дагаварыг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хянах</w:t>
      </w:r>
      <w:proofErr w:type="spellEnd"/>
      <w:r w:rsidRPr="00911D2E">
        <w:rPr>
          <w:rFonts w:ascii="Arial" w:hAnsi="Arial" w:cs="Arial"/>
        </w:rPr>
        <w:t xml:space="preserve">, </w:t>
      </w:r>
      <w:proofErr w:type="spellStart"/>
      <w:r w:rsidRPr="00911D2E">
        <w:rPr>
          <w:rFonts w:ascii="Arial" w:hAnsi="Arial" w:cs="Arial"/>
        </w:rPr>
        <w:t>илрүүлэх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зорилгоор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байгаль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орчны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менежментийн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төлөвлөгөөг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боловсруулан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батлуулж</w:t>
      </w:r>
      <w:proofErr w:type="spellEnd"/>
      <w:r w:rsidRPr="00911D2E">
        <w:rPr>
          <w:rFonts w:ascii="Arial" w:hAnsi="Arial" w:cs="Arial"/>
        </w:rPr>
        <w:t xml:space="preserve">, </w:t>
      </w:r>
      <w:proofErr w:type="spellStart"/>
      <w:r w:rsidRPr="00911D2E">
        <w:rPr>
          <w:rFonts w:ascii="Arial" w:hAnsi="Arial" w:cs="Arial"/>
        </w:rPr>
        <w:t>хэрэгжилтийг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хангаж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ажиллах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үүрэг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нь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уг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төсөл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хэрэгжүүлэгч</w:t>
      </w:r>
      <w:proofErr w:type="spellEnd"/>
      <w:r w:rsidRPr="00911D2E">
        <w:rPr>
          <w:rFonts w:ascii="Arial" w:hAnsi="Arial" w:cs="Arial"/>
        </w:rPr>
        <w:t xml:space="preserve"> “</w:t>
      </w:r>
      <w:proofErr w:type="spellStart"/>
      <w:r w:rsidRPr="00911D2E">
        <w:rPr>
          <w:rFonts w:ascii="Arial" w:hAnsi="Arial" w:cs="Arial"/>
        </w:rPr>
        <w:t>Талх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Чихэр</w:t>
      </w:r>
      <w:proofErr w:type="spellEnd"/>
      <w:r w:rsidRPr="00911D2E">
        <w:rPr>
          <w:rFonts w:ascii="Arial" w:hAnsi="Arial" w:cs="Arial"/>
        </w:rPr>
        <w:t xml:space="preserve">” ХК-д </w:t>
      </w:r>
      <w:proofErr w:type="spellStart"/>
      <w:r w:rsidRPr="00911D2E">
        <w:rPr>
          <w:rFonts w:ascii="Arial" w:hAnsi="Arial" w:cs="Arial"/>
        </w:rPr>
        <w:t>тавигдаж</w:t>
      </w:r>
      <w:proofErr w:type="spellEnd"/>
      <w:r w:rsidRPr="00911D2E">
        <w:rPr>
          <w:rFonts w:ascii="Arial" w:hAnsi="Arial" w:cs="Arial"/>
        </w:rPr>
        <w:t xml:space="preserve"> </w:t>
      </w:r>
      <w:proofErr w:type="spellStart"/>
      <w:r w:rsidRPr="00911D2E">
        <w:rPr>
          <w:rFonts w:ascii="Arial" w:hAnsi="Arial" w:cs="Arial"/>
        </w:rPr>
        <w:t>байна</w:t>
      </w:r>
      <w:proofErr w:type="spellEnd"/>
      <w:r w:rsidRPr="00911D2E">
        <w:rPr>
          <w:rFonts w:ascii="Arial" w:hAnsi="Arial" w:cs="Arial"/>
        </w:rPr>
        <w:t xml:space="preserve">. </w:t>
      </w:r>
    </w:p>
    <w:p w14:paraId="1AC6E122" w14:textId="2EF21580" w:rsidR="00911D2E" w:rsidRDefault="00911D2E" w:rsidP="00911D2E">
      <w:pPr>
        <w:rPr>
          <w:rFonts w:ascii="Arial" w:hAnsi="Arial" w:cs="Arial"/>
        </w:rPr>
      </w:pPr>
      <w:r w:rsidRPr="00911D2E">
        <w:rPr>
          <w:rFonts w:ascii="Arial" w:hAnsi="Arial" w:cs="Arial"/>
        </w:rPr>
        <w:t xml:space="preserve">                         </w:t>
      </w:r>
      <w:proofErr w:type="spellStart"/>
      <w:r w:rsidR="00466622" w:rsidRPr="00911D2E">
        <w:rPr>
          <w:rFonts w:ascii="Arial" w:hAnsi="Arial" w:cs="Arial"/>
        </w:rPr>
        <w:t>Байгаль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орчны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менежментийн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төлөвлөгөө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нь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байгаль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хамгаалах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төлөвлөгөө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орчны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хяналт-шинжилгээний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хөтөлбөр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гэсэн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хоёр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үндсэн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хэсгээс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бүрдэх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бөгөөд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байгаль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орчныг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хамгаалах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төлөвлөгөөнд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байгаль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орчны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нөлөөллийн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үнэлгээгээр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тогтоосон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сөрөг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нөлөөллийг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багасгах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арилгах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арга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хэмжээ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дүйцүүлэн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хамгаалал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хийх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тэдгээрийг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хэрэгжүүлэх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хугацаа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шаардагдах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хөрөнгө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зардлыг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тусгасан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байхаар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орчны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хяналтшинжилгээний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хөтөлбөрт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төслийн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үйл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ажиллагааны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улмаас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байгаль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орчны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төлөв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байдалд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үзүүлж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байгаа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өөрчлөлтийг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хянах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шинжилгээ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хийх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үр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дүнг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тайлагнах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түүнийг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хэрэгжүүлэх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арга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хэлбэр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шаардагдах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хөрөнгө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зардал</w:t>
      </w:r>
      <w:proofErr w:type="spellEnd"/>
      <w:r w:rsidR="00466622" w:rsidRPr="00911D2E">
        <w:rPr>
          <w:rFonts w:ascii="Arial" w:hAnsi="Arial" w:cs="Arial"/>
        </w:rPr>
        <w:t xml:space="preserve">, </w:t>
      </w:r>
      <w:proofErr w:type="spellStart"/>
      <w:r w:rsidR="00466622" w:rsidRPr="00911D2E">
        <w:rPr>
          <w:rFonts w:ascii="Arial" w:hAnsi="Arial" w:cs="Arial"/>
        </w:rPr>
        <w:t>хугацааг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тодорхойлон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тусгахаар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хуульчлагдсаныг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баримтлан</w:t>
      </w:r>
      <w:proofErr w:type="spellEnd"/>
      <w:r w:rsidR="00466622" w:rsidRPr="00911D2E">
        <w:rPr>
          <w:rFonts w:ascii="Arial" w:hAnsi="Arial" w:cs="Arial"/>
        </w:rPr>
        <w:t xml:space="preserve"> БОМТ, ОХШХ-</w:t>
      </w:r>
      <w:proofErr w:type="spellStart"/>
      <w:r w:rsidR="00466622" w:rsidRPr="00911D2E">
        <w:rPr>
          <w:rFonts w:ascii="Arial" w:hAnsi="Arial" w:cs="Arial"/>
        </w:rPr>
        <w:t>ийг</w:t>
      </w:r>
      <w:proofErr w:type="spellEnd"/>
      <w:r w:rsidR="00466622" w:rsidRPr="00911D2E">
        <w:rPr>
          <w:rFonts w:ascii="Arial" w:hAnsi="Arial" w:cs="Arial"/>
        </w:rPr>
        <w:t xml:space="preserve"> </w:t>
      </w:r>
      <w:proofErr w:type="spellStart"/>
      <w:r w:rsidR="00466622" w:rsidRPr="00911D2E">
        <w:rPr>
          <w:rFonts w:ascii="Arial" w:hAnsi="Arial" w:cs="Arial"/>
        </w:rPr>
        <w:t>боловсруул</w:t>
      </w:r>
      <w:r>
        <w:rPr>
          <w:rFonts w:ascii="Arial" w:hAnsi="Arial" w:cs="Arial"/>
        </w:rPr>
        <w:t>ав</w:t>
      </w:r>
      <w:proofErr w:type="spellEnd"/>
      <w:r>
        <w:rPr>
          <w:rFonts w:ascii="Arial" w:hAnsi="Arial" w:cs="Arial"/>
        </w:rPr>
        <w:t xml:space="preserve">. </w:t>
      </w:r>
    </w:p>
    <w:p w14:paraId="1412F5EA" w14:textId="3BAA25B7" w:rsidR="00080FA6" w:rsidRDefault="00080FA6" w:rsidP="00911D2E">
      <w:pPr>
        <w:rPr>
          <w:rFonts w:ascii="Arial" w:hAnsi="Arial" w:cs="Arial"/>
        </w:rPr>
      </w:pPr>
    </w:p>
    <w:p w14:paraId="57D33F90" w14:textId="35B15621" w:rsidR="00911D2E" w:rsidRDefault="00911D2E" w:rsidP="00911D2E">
      <w:pPr>
        <w:rPr>
          <w:rFonts w:ascii="Arial" w:hAnsi="Arial" w:cs="Arial"/>
        </w:rPr>
      </w:pPr>
      <w:r w:rsidRPr="00911D2E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Б</w:t>
      </w:r>
      <w:r w:rsidRPr="00911D2E">
        <w:rPr>
          <w:rFonts w:ascii="Arial" w:hAnsi="Arial" w:cs="Arial"/>
          <w:b/>
          <w:bCs/>
        </w:rPr>
        <w:t>айгаль</w:t>
      </w:r>
      <w:proofErr w:type="spellEnd"/>
      <w:r w:rsidRPr="00911D2E">
        <w:rPr>
          <w:rFonts w:ascii="Arial" w:hAnsi="Arial" w:cs="Arial"/>
          <w:b/>
          <w:bCs/>
        </w:rPr>
        <w:t xml:space="preserve"> </w:t>
      </w:r>
      <w:proofErr w:type="spellStart"/>
      <w:r w:rsidRPr="00911D2E">
        <w:rPr>
          <w:rFonts w:ascii="Arial" w:hAnsi="Arial" w:cs="Arial"/>
          <w:b/>
          <w:bCs/>
        </w:rPr>
        <w:t>орчныг</w:t>
      </w:r>
      <w:proofErr w:type="spellEnd"/>
      <w:r w:rsidRPr="00911D2E">
        <w:rPr>
          <w:rFonts w:ascii="Arial" w:hAnsi="Arial" w:cs="Arial"/>
          <w:b/>
          <w:bCs/>
        </w:rPr>
        <w:t xml:space="preserve"> </w:t>
      </w:r>
      <w:proofErr w:type="spellStart"/>
      <w:r w:rsidRPr="00911D2E">
        <w:rPr>
          <w:rFonts w:ascii="Arial" w:hAnsi="Arial" w:cs="Arial"/>
          <w:b/>
          <w:bCs/>
        </w:rPr>
        <w:t>хамгаалах</w:t>
      </w:r>
      <w:proofErr w:type="spellEnd"/>
      <w:r w:rsidRPr="00911D2E">
        <w:rPr>
          <w:rFonts w:ascii="Arial" w:hAnsi="Arial" w:cs="Arial"/>
          <w:b/>
          <w:bCs/>
        </w:rPr>
        <w:t xml:space="preserve"> </w:t>
      </w:r>
      <w:proofErr w:type="spellStart"/>
      <w:r w:rsidRPr="00911D2E">
        <w:rPr>
          <w:rFonts w:ascii="Arial" w:hAnsi="Arial" w:cs="Arial"/>
          <w:b/>
          <w:bCs/>
        </w:rPr>
        <w:t>төлөвлөгөө</w:t>
      </w:r>
      <w:proofErr w:type="spellEnd"/>
      <w:r w:rsidRPr="00911D2E">
        <w:rPr>
          <w:rFonts w:ascii="Arial" w:hAnsi="Arial" w:cs="Arial"/>
        </w:rPr>
        <w:t xml:space="preserve"> </w:t>
      </w:r>
    </w:p>
    <w:p w14:paraId="04D872A3" w14:textId="42411501" w:rsidR="00911D2E" w:rsidRDefault="005E3E97" w:rsidP="00911D2E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>
        <w:rPr>
          <w:rFonts w:ascii="Arial" w:hAnsi="Arial" w:cs="Arial"/>
          <w:lang w:val="mn-MN"/>
        </w:rPr>
        <w:t>Талх Чихэр</w:t>
      </w:r>
      <w:r>
        <w:rPr>
          <w:rFonts w:ascii="Arial" w:hAnsi="Arial" w:cs="Arial"/>
        </w:rPr>
        <w:t xml:space="preserve">” </w:t>
      </w:r>
      <w:r>
        <w:rPr>
          <w:rFonts w:ascii="Arial" w:hAnsi="Arial" w:cs="Arial"/>
          <w:lang w:val="mn-MN"/>
        </w:rPr>
        <w:t xml:space="preserve">ХК нь 2022 онд </w:t>
      </w:r>
      <w:proofErr w:type="spellStart"/>
      <w:r>
        <w:rPr>
          <w:rFonts w:ascii="Arial" w:hAnsi="Arial" w:cs="Arial"/>
        </w:rPr>
        <w:t>Байгаль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орчны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үнэлгээ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зөвлөх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үйлчилгээний</w:t>
      </w:r>
      <w:proofErr w:type="spellEnd"/>
      <w:r>
        <w:rPr>
          <w:rFonts w:ascii="Arial" w:hAnsi="Arial" w:cs="Arial"/>
        </w:rPr>
        <w:t xml:space="preserve"> “</w:t>
      </w:r>
      <w:r>
        <w:rPr>
          <w:rFonts w:ascii="Arial" w:hAnsi="Arial" w:cs="Arial"/>
          <w:lang w:val="mn-MN"/>
        </w:rPr>
        <w:t xml:space="preserve">Цавчирын хөндий </w:t>
      </w:r>
      <w:proofErr w:type="gramStart"/>
      <w:r>
        <w:rPr>
          <w:rFonts w:ascii="Arial" w:hAnsi="Arial" w:cs="Arial"/>
        </w:rPr>
        <w:t>“</w:t>
      </w:r>
      <w:r>
        <w:rPr>
          <w:rFonts w:ascii="Arial" w:hAnsi="Arial" w:cs="Arial"/>
          <w:lang w:val="mn-MN"/>
        </w:rPr>
        <w:t xml:space="preserve"> ХХК</w:t>
      </w:r>
      <w:proofErr w:type="gramEnd"/>
      <w:r>
        <w:rPr>
          <w:rFonts w:ascii="Arial" w:hAnsi="Arial" w:cs="Arial"/>
          <w:lang w:val="mn-MN"/>
        </w:rPr>
        <w:t xml:space="preserve">-аар </w:t>
      </w:r>
      <w:r>
        <w:rPr>
          <w:rFonts w:ascii="Arial" w:hAnsi="Arial" w:cs="Arial"/>
        </w:rPr>
        <w:t>“</w:t>
      </w:r>
      <w:r>
        <w:rPr>
          <w:rFonts w:ascii="Arial" w:hAnsi="Arial" w:cs="Arial"/>
          <w:lang w:val="mn-MN"/>
        </w:rPr>
        <w:t>Талх, жигнэмэл болон чанамал гурилан бүтээгдэхүүн, жигнэмэг, өрмөнцөр, чихэр, бялуун бүтээгдэхүүний үйлдвэрлэл, түгээлт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mn-MN"/>
        </w:rPr>
        <w:t xml:space="preserve"> төслийн байгаль орчны нөлөөллийн нарийвчилсан үнэлгээ хийлгэсэн нь үнэн болно. Нарийвчилсан үнэлгээний үр дүнд </w:t>
      </w:r>
      <w:proofErr w:type="spellStart"/>
      <w:r>
        <w:rPr>
          <w:rFonts w:ascii="Arial" w:hAnsi="Arial" w:cs="Arial"/>
        </w:rPr>
        <w:t>б</w:t>
      </w:r>
      <w:r w:rsidR="00911D2E" w:rsidRPr="00911D2E">
        <w:rPr>
          <w:rFonts w:ascii="Arial" w:hAnsi="Arial" w:cs="Arial"/>
        </w:rPr>
        <w:t>айгаль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орчныг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хамгаалах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төлөвлөгөөнд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байгаль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орчны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нөлөөллийн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үнэлгээгээр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тогтоосон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сөрөг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нөлөөллийг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багасгах</w:t>
      </w:r>
      <w:proofErr w:type="spellEnd"/>
      <w:r w:rsidR="00911D2E" w:rsidRPr="00911D2E">
        <w:rPr>
          <w:rFonts w:ascii="Arial" w:hAnsi="Arial" w:cs="Arial"/>
        </w:rPr>
        <w:t xml:space="preserve">, </w:t>
      </w:r>
      <w:proofErr w:type="spellStart"/>
      <w:r w:rsidR="00911D2E" w:rsidRPr="00911D2E">
        <w:rPr>
          <w:rFonts w:ascii="Arial" w:hAnsi="Arial" w:cs="Arial"/>
        </w:rPr>
        <w:t>арилгах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арга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хэмжээ</w:t>
      </w:r>
      <w:proofErr w:type="spellEnd"/>
      <w:r w:rsidR="00911D2E" w:rsidRPr="00911D2E">
        <w:rPr>
          <w:rFonts w:ascii="Arial" w:hAnsi="Arial" w:cs="Arial"/>
        </w:rPr>
        <w:t xml:space="preserve">, </w:t>
      </w:r>
      <w:proofErr w:type="spellStart"/>
      <w:r w:rsidR="00911D2E" w:rsidRPr="00911D2E">
        <w:rPr>
          <w:rFonts w:ascii="Arial" w:hAnsi="Arial" w:cs="Arial"/>
        </w:rPr>
        <w:t>дүйцүүлэн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хамгаалал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хийх</w:t>
      </w:r>
      <w:proofErr w:type="spellEnd"/>
      <w:r w:rsidR="00911D2E" w:rsidRPr="00911D2E">
        <w:rPr>
          <w:rFonts w:ascii="Arial" w:hAnsi="Arial" w:cs="Arial"/>
        </w:rPr>
        <w:t xml:space="preserve">, </w:t>
      </w:r>
      <w:proofErr w:type="spellStart"/>
      <w:r w:rsidR="00911D2E" w:rsidRPr="00911D2E">
        <w:rPr>
          <w:rFonts w:ascii="Arial" w:hAnsi="Arial" w:cs="Arial"/>
        </w:rPr>
        <w:t>тэдгээрийг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хэрэгжүүлэх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хугацаа</w:t>
      </w:r>
      <w:proofErr w:type="spellEnd"/>
      <w:r w:rsidR="00911D2E" w:rsidRPr="00911D2E">
        <w:rPr>
          <w:rFonts w:ascii="Arial" w:hAnsi="Arial" w:cs="Arial"/>
        </w:rPr>
        <w:t xml:space="preserve">, </w:t>
      </w:r>
      <w:proofErr w:type="spellStart"/>
      <w:r w:rsidR="00911D2E" w:rsidRPr="00911D2E">
        <w:rPr>
          <w:rFonts w:ascii="Arial" w:hAnsi="Arial" w:cs="Arial"/>
        </w:rPr>
        <w:t>шаардагдах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>
        <w:rPr>
          <w:rFonts w:ascii="Arial" w:hAnsi="Arial" w:cs="Arial"/>
        </w:rPr>
        <w:t>зүйлсийг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тусгасан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байхаар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заасны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дагуу</w:t>
      </w:r>
      <w:proofErr w:type="spellEnd"/>
      <w:r w:rsidR="00911D2E" w:rsidRPr="00911D2E">
        <w:rPr>
          <w:rFonts w:ascii="Arial" w:hAnsi="Arial" w:cs="Arial"/>
        </w:rPr>
        <w:t xml:space="preserve"> </w:t>
      </w:r>
      <w:proofErr w:type="spellStart"/>
      <w:r w:rsidR="00911D2E" w:rsidRPr="00911D2E">
        <w:rPr>
          <w:rFonts w:ascii="Arial" w:hAnsi="Arial" w:cs="Arial"/>
        </w:rPr>
        <w:t>бол</w:t>
      </w:r>
      <w:r w:rsidR="00911D2E">
        <w:rPr>
          <w:rFonts w:ascii="Arial" w:hAnsi="Arial" w:cs="Arial"/>
        </w:rPr>
        <w:t>овсруулсан</w:t>
      </w:r>
      <w:proofErr w:type="spellEnd"/>
      <w:r w:rsidR="00911D2E">
        <w:rPr>
          <w:rFonts w:ascii="Arial" w:hAnsi="Arial" w:cs="Arial"/>
        </w:rPr>
        <w:t>.</w:t>
      </w:r>
    </w:p>
    <w:p w14:paraId="1A4B2F59" w14:textId="77777777" w:rsidR="005E3E97" w:rsidRDefault="005E3E97" w:rsidP="00911D2E">
      <w:pPr>
        <w:rPr>
          <w:rFonts w:ascii="Arial" w:hAnsi="Arial" w:cs="Arial"/>
        </w:rPr>
      </w:pPr>
    </w:p>
    <w:p w14:paraId="0B94C1A3" w14:textId="77777777" w:rsidR="005E3E97" w:rsidRDefault="005E3E97" w:rsidP="00911D2E">
      <w:pPr>
        <w:rPr>
          <w:rFonts w:ascii="Arial" w:hAnsi="Arial" w:cs="Arial"/>
        </w:rPr>
      </w:pPr>
    </w:p>
    <w:p w14:paraId="65DD07C1" w14:textId="77777777" w:rsidR="005E3E97" w:rsidRDefault="005E3E97" w:rsidP="00911D2E">
      <w:pPr>
        <w:rPr>
          <w:rFonts w:ascii="Arial" w:hAnsi="Arial" w:cs="Arial"/>
        </w:rPr>
      </w:pPr>
    </w:p>
    <w:p w14:paraId="0E8DCF9A" w14:textId="77777777" w:rsidR="005E3E97" w:rsidRDefault="005E3E97" w:rsidP="00911D2E">
      <w:pPr>
        <w:rPr>
          <w:rFonts w:ascii="Arial" w:hAnsi="Arial" w:cs="Arial"/>
        </w:rPr>
      </w:pPr>
    </w:p>
    <w:p w14:paraId="5549E47E" w14:textId="77777777" w:rsidR="005E3E97" w:rsidRDefault="005E3E97" w:rsidP="00911D2E">
      <w:pPr>
        <w:rPr>
          <w:rFonts w:ascii="Arial" w:hAnsi="Arial" w:cs="Arial"/>
        </w:rPr>
      </w:pPr>
    </w:p>
    <w:p w14:paraId="2AD397E5" w14:textId="7B127C32" w:rsidR="005E3E97" w:rsidRPr="005E3E97" w:rsidRDefault="005E3E97" w:rsidP="005E3E97">
      <w:pPr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Хүснэгт 1 Сөрөг нөлөөллийг бууруулах арга хэмжээний төлөвлөгөө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1920"/>
        <w:gridCol w:w="2040"/>
        <w:gridCol w:w="2020"/>
        <w:gridCol w:w="2340"/>
        <w:gridCol w:w="1980"/>
      </w:tblGrid>
      <w:tr w:rsidR="00426EDF" w:rsidRPr="00426EDF" w14:paraId="1B147AE1" w14:textId="77777777" w:rsidTr="00426EDF">
        <w:trPr>
          <w:trHeight w:val="7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95396F7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Төслийн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болзошгүй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сөрөг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нөлөөллүүд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46D374BF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Сөрөг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нөлөөллийг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бууруулах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нөхөн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сэргээх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арга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9329642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Арга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хэмжээний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хамрах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4BB37C4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Арга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хэмжээний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хэрэгжүүлэлт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биелэлт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D575994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Хэрэгжүүлэх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хугацаа</w:t>
            </w:r>
            <w:proofErr w:type="spellEnd"/>
          </w:p>
        </w:tc>
      </w:tr>
      <w:tr w:rsidR="00426EDF" w:rsidRPr="00426EDF" w14:paraId="46F6AD46" w14:textId="77777777" w:rsidTr="00426EDF">
        <w:trPr>
          <w:trHeight w:val="66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BBAC3CE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НЭГ. АГААРЫН ЧАНАРТ ҮЗҮҮЛЭХ СӨРӨГ НӨЛӨӨЛЛИЙГ БУУРУУЛАХ, ТООСЖИЛТЫГ БАГАСГАХ ЧИГЛЭЛЭЭР</w:t>
            </w:r>
          </w:p>
        </w:tc>
      </w:tr>
      <w:tr w:rsidR="00426EDF" w:rsidRPr="00426EDF" w14:paraId="1E250DF9" w14:textId="77777777" w:rsidTr="00426EDF">
        <w:trPr>
          <w:trHeight w:val="2910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1E97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Түгээлтийн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хэрэгслүүдийн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хөдөлгүүрээс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ялгарах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хаягдлаар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агаар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орчин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бохирдох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742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хэрэгслүүдийн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хөдөлгүүрээс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ялгарах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хяналт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тавьж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утааны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шүүлтүүр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тавих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маслыг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тогтоосон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цаг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тутамд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сольж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C5DB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Төслийн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ажиллагаанд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ашиглаж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буй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хэрэгсэлд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37C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Жилд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удаа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үзлэг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хяналт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шалгалт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масло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үзлэг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шалгалт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хийсэн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D61D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2022-2024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7C6D8471" w14:textId="77777777" w:rsidTr="00426EDF">
        <w:trPr>
          <w:trHeight w:val="238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D19E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ACE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Агаарын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чанарын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мониторингийг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жилд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</w:t>
            </w: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удаа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хийлгэж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159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талбайн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нэгдсэн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зогсоол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орчимд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C3C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Агаарын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чанарын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мониторингийг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Mass concentration detector PCE-RCM 11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багажын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тусламжтай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хэмжилт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хийсэн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E8A9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2022-2025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6CECDCDC" w14:textId="77777777" w:rsidTr="00426EDF">
        <w:trPr>
          <w:trHeight w:val="6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07ED638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ХОЁР. ГАДАРГЫН БОЛОН ГАЗРЫН ДООРХ УСАНД ҮЗҮҮЛЭХ СӨРӨГ НӨЛӨӨЛЛИЙГ БУУРУУЛАХ ЧИГЛЭЛЭЭР</w:t>
            </w:r>
          </w:p>
        </w:tc>
      </w:tr>
      <w:tr w:rsidR="00426EDF" w:rsidRPr="00426EDF" w14:paraId="5C671845" w14:textId="77777777" w:rsidTr="00426EDF">
        <w:trPr>
          <w:trHeight w:val="232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DECE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Үйлдвэрлэл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ажилчдын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ахуйн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хэрэглээнд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хэмжээгээр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газрын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доорх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нөөц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буурах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5A7A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Цэвэр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шугам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хоолойн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засвар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үйлчилгээг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тогтмол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гүйцэтгэж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BC3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шугам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71D5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14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хоногт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цэвэр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шугам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хоолойн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засвар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үйлчилгээг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тогтмол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хийдэг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B19F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2022-2025</w:t>
            </w: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7984CE7D" w14:textId="77777777" w:rsidTr="00426EDF">
        <w:trPr>
          <w:trHeight w:val="3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A1B0467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ГУРАВ. ТӨСЛӨӨС ҮЗҮҮЛЭХ ФИЗИК СӨРӨГ НӨЛӨӨЛЛИЙГ БУУРУУЛАХ, БАГАСГАХ ЧИГЛЭЛЭЭР</w:t>
            </w:r>
          </w:p>
        </w:tc>
      </w:tr>
      <w:tr w:rsidR="00426EDF" w:rsidRPr="00426EDF" w14:paraId="35D131B2" w14:textId="77777777" w:rsidTr="00426EDF">
        <w:trPr>
          <w:trHeight w:val="229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0FA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Тээврийн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хэрэгслүүдийн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хөдөлгүүр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тоног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төхөөрөмжүүдийн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ашиглалтын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үед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үүсэх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дуу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чимээний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нөлөөлөл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27E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дотор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гадна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орчинд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дуу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чимээг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тогтмол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хэмжиж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Хөдөлмөрийн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аюулгүй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байдал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эрүүл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мэнд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шуугианы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норм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D65C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дотор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гадна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орчинд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786B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дотор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гадна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орчинд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FLUS ET-965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зориулалтын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багажаар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хэмжилт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эрсдлийн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үнэлгээ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тогтмол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хийдэг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Дата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мэдээллийг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хадгалдаг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510D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2023-2025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1853D718" w14:textId="77777777" w:rsidTr="00426EDF">
        <w:trPr>
          <w:trHeight w:val="3060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4891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A06B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Аюулгүй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ажиллагааны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ерөнхий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шаардлага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MNS</w:t>
            </w: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5002: 2000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стандартаас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өндөр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тухайн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орчинд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буй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ажиллагсдад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сонсгол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хамгаалах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хэрэгсэл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ашиглуулах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F620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Дуу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чимээний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түвшин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өндөр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нэгж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хэсгүүдийн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ажилчид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E785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Дуу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шуугианы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өндөр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эрсдэлтэй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ажлын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байруудад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тутам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сонсгол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хамгаалах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хэрэгслээр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хангадаг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E24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4924B5B6" w14:textId="77777777" w:rsidTr="00426EDF">
        <w:trPr>
          <w:trHeight w:val="127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77AD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E62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хэрэгслүүдийн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засвар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үйлчилгээг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тогтмол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7D13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хэрэгслүүд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3C30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тутам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хэрэгслүүдийн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засвар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үйлчилгээг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тогтмол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хяналт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шалгалт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хийгддэг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C1B4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2022-2025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7F64C497" w14:textId="77777777" w:rsidTr="00426EDF">
        <w:trPr>
          <w:trHeight w:val="3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05BDE1D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ДӨРӨВ. НИЙГЭМ ЭДИЙН ЗАСАГ</w:t>
            </w:r>
          </w:p>
        </w:tc>
      </w:tr>
      <w:tr w:rsidR="00426EDF" w:rsidRPr="00426EDF" w14:paraId="1635AF96" w14:textId="77777777" w:rsidTr="00426EDF">
        <w:trPr>
          <w:trHeight w:val="226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CEB0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Үйлдвэрлэлийн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ажиллагаануудын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шинж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чанараас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хамаарч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зарим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ажилчдад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мэргэжлээс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шалтгаалах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өвчлөл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1D43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Ажилчдыг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эрүүл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мэндийн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урьдчилан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сэргийлэх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үзлэг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оношилгоонд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хамруулах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7FB1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ажилчид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4F70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Жилд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удаа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нийт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ажилчдыг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хамруулан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эрүүл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мэндийн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урьдчилан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сэргийлэх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хугацаат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үзлэгийг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"ТОПАЗ"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эмнэлэгтэй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хамтран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зохион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байгуулсан</w:t>
            </w:r>
            <w:proofErr w:type="spellEnd"/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66FD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4D4A3D90" w14:textId="77777777" w:rsidTr="00426EDF">
        <w:trPr>
          <w:trHeight w:val="178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BF65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5E7B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Лабораторид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ажилладаг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ажиллагсдыг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хордлого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тайлах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нэмэлт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хүнсээр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хангах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7E3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Лабораторийн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ажилчид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2C30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тутам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саармагжуулах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бүтээгдэхүүн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олгодог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F66B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26EDF" w:rsidRPr="00426EDF" w14:paraId="01CDB389" w14:textId="77777777" w:rsidTr="00426EDF">
        <w:trPr>
          <w:trHeight w:val="3195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39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Нийгмийн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хариуцлагын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хүрээнд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5A5E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Шинэ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жилээр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санхүүжилтээр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мөсөн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хотхон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иргэдийг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баярлуулах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зохион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86A4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Нийгмийн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хариуцлагын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хүрээнд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7CA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Монголын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сурагчдын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холбооноос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санаачлан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зохион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байгуулсан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"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Шилдэг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төгсөгч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арга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дэмжиж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хүүхдийн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сайхны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төлөө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хамтран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сурагчийн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"АНД"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байгууллагаар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онцолж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талархалын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бичиг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хүлээн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авсан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C8B6D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7CE109AC" w14:textId="77777777" w:rsidTr="00426EDF">
        <w:trPr>
          <w:trHeight w:val="3315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4791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5361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Атар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талхны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үнэнээс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10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төгрөгийг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цусны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төвийн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шаардлагатай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бараа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материал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авахад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зориулах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цус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өгсөн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иргэдэд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жигнэмэгэн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бүтээгдэхүүн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өгөх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8893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Нийгмийн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хариуцлагын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хүрээнд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587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Нэгдсэн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үндэсний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байгууллагын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"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Хүүхдэд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ээлтэй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дэлхий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ертөнцийг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болгох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уриалгын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Монгол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улсын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хөгжлийн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тулгуур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болсон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хүүхэд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өсвөр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үеийнхний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сайхны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төлөө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оруулсан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хувь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нэмрийг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өндрөөр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үнэлж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"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Талх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Чихэр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ХК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нь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"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Хүүхдийн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элч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медаль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авсан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4EB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36A3D826" w14:textId="77777777" w:rsidTr="00426EDF">
        <w:trPr>
          <w:trHeight w:val="127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56D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эрүүл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ахуйгаас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шалтгаалсан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нян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бактери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үүсэх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FE0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талбайг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бүхэлд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нь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аруйтгал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халдваргүйжүүлэлт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хийж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4FB8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объект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A49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Жилд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5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удаа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ариутгал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халдваргүйжүүлэлт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хийдэг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 "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Сүүн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ХХК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компанитай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хамтран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ажилласан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578E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369AE2DF" w14:textId="77777777" w:rsidTr="00426EDF">
        <w:trPr>
          <w:trHeight w:val="300"/>
        </w:trPr>
        <w:tc>
          <w:tcPr>
            <w:tcW w:w="10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6A8037E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ТАВ. УРГАМЛАН НӨМРӨГТ ҮЗҮҮЛЭХ НӨЛӨӨЛӨЛ</w:t>
            </w:r>
          </w:p>
        </w:tc>
      </w:tr>
      <w:tr w:rsidR="00426EDF" w:rsidRPr="00426EDF" w14:paraId="2ED1AB94" w14:textId="77777777" w:rsidTr="00426EDF">
        <w:trPr>
          <w:trHeight w:val="258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66A4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956B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бутлаг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ургамал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тарих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FCD2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Богдхан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уулын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Арцатын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ам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Ширээтийн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аманд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BAAF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Богдхан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уулын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Арцатын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ам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Ширээтийн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аманд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нийт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8000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гаруй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тарих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ажлын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эхлүүлсэн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хамтын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ажиллагааны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хүрээнд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хуш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шинэс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улиангар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нарс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гэх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мэт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моднуудыг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үрслүүлэн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суулгасан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C6D4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426EDF" w:rsidRPr="00426EDF" w14:paraId="51BE78F5" w14:textId="77777777" w:rsidTr="00426EDF">
        <w:trPr>
          <w:trHeight w:val="76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0A35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6AFF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Мод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тарих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8704" w14:textId="77777777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Сонгинохайрхан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дүүргийн</w:t>
            </w:r>
            <w:proofErr w:type="spellEnd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29-р</w:t>
            </w: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хороонд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57C7" w14:textId="610B9A94" w:rsidR="00426EDF" w:rsidRPr="00426EDF" w:rsidRDefault="00426EDF" w:rsidP="00426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орчинд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бут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монос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нарс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гэх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мэт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Мөн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ногоон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байгууламжийг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бий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болгох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зорилгын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хүрээнд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зүлэгжүүлэлт</w:t>
            </w:r>
            <w:proofErr w:type="spellEnd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х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ийгдсэн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5764" w14:textId="77777777" w:rsidR="00426EDF" w:rsidRPr="00426EDF" w:rsidRDefault="00426EDF" w:rsidP="00426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2022-2024 </w:t>
            </w:r>
            <w:proofErr w:type="spellStart"/>
            <w:r w:rsidRPr="00426ED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</w:tbl>
    <w:p w14:paraId="57E6D2A0" w14:textId="77777777" w:rsidR="001B1324" w:rsidRDefault="001B1324" w:rsidP="00315B95"/>
    <w:p w14:paraId="0B62B04F" w14:textId="16235E94" w:rsidR="001B1324" w:rsidRPr="001E3952" w:rsidRDefault="001B1324" w:rsidP="001B1324">
      <w:pPr>
        <w:jc w:val="right"/>
        <w:rPr>
          <w:rFonts w:ascii="Arial" w:hAnsi="Arial" w:cs="Arial"/>
          <w:lang w:val="mn-MN"/>
        </w:rPr>
      </w:pPr>
      <w:r w:rsidRPr="001E3952">
        <w:rPr>
          <w:rFonts w:ascii="Arial" w:hAnsi="Arial" w:cs="Arial"/>
          <w:lang w:val="mn-MN"/>
        </w:rPr>
        <w:t>Хүснэгт 2 Удирдлага, зохион байгуулалтын арга хэмжээ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3601"/>
        <w:gridCol w:w="1650"/>
        <w:gridCol w:w="1521"/>
        <w:gridCol w:w="3146"/>
      </w:tblGrid>
      <w:tr w:rsidR="001B1324" w:rsidRPr="001B1324" w14:paraId="70A72E08" w14:textId="77777777" w:rsidTr="001B1324">
        <w:trPr>
          <w:trHeight w:val="1020"/>
          <w:jc w:val="center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D1C0AD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Арга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ED98124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Хамрах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3C292E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Арга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хэмжээний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хэрэгжүүлэлт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биелэлт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04A126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Хэрэгжүүлэх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хугацаа</w:t>
            </w:r>
            <w:proofErr w:type="spellEnd"/>
          </w:p>
        </w:tc>
      </w:tr>
      <w:tr w:rsidR="001B1324" w:rsidRPr="001B1324" w14:paraId="47608B03" w14:textId="77777777" w:rsidTr="001B1324">
        <w:trPr>
          <w:trHeight w:val="2220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D33A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Төслийг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хэрэгжүүлэх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хугацаанд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 xml:space="preserve">2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жил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тутамд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байгаль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орчны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аудит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хийлгэх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4EAF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Төслийн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хүрээнд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57A8" w14:textId="6459E95D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  <w:proofErr w:type="spellStart"/>
            <w:r w:rsidR="00446ED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Хийлгээгүй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97D5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1B1324" w:rsidRPr="001B1324" w14:paraId="7C805231" w14:textId="77777777" w:rsidTr="001B1324">
        <w:trPr>
          <w:trHeight w:val="2910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DA9D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Газрын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чанарын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хянан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баталгааг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5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жил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тутамд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хийлгэх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A1C8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Төслийн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талбайн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ашиглаж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буй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газрын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хүрээнд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7350" w14:textId="55AB262B" w:rsidR="001B1324" w:rsidRPr="001B1324" w:rsidRDefault="00446ED2" w:rsidP="0044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Хийлгээгүй</w:t>
            </w:r>
            <w:proofErr w:type="spellEnd"/>
            <w:r w:rsidR="001B1324"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8F11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1B1324" w:rsidRPr="001B1324" w14:paraId="2D37D580" w14:textId="77777777" w:rsidTr="001B1324">
        <w:trPr>
          <w:trHeight w:val="2385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BE4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нийт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ажилчдад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байгаль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орчныг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хамгаалах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байгалийн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баялгийг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зүй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зохистой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ашиглах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талаар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мэргэжлийн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байгууллагатай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хамтарсан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сургалт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зохион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байгуулах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C10B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Ажилчид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7618" w14:textId="7390258B" w:rsidR="001B1324" w:rsidRPr="001B1324" w:rsidRDefault="00446ED2" w:rsidP="00446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БОМТ 2025-д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улирал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бүр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сургалтыг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орхоор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төлөвлөгөөнд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тусгасан</w:t>
            </w:r>
            <w:proofErr w:type="spellEnd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7246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1B1324" w:rsidRPr="001B1324" w14:paraId="7049F5FD" w14:textId="77777777" w:rsidTr="001B1324">
        <w:trPr>
          <w:trHeight w:val="2580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62E5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Гал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түймрийн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үед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хэрхэн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ажиллах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талаар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ажиллагсдын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дунд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сургалт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жилд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1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удаа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зохион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байгуулах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CB66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Ажилчид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A96" w14:textId="3DF38E5A" w:rsidR="001B1324" w:rsidRPr="001B1324" w:rsidRDefault="00446ED2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ОБЕГ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хамтран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зохион</w:t>
            </w:r>
            <w:proofErr w:type="spellEnd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байгуулдаг</w:t>
            </w:r>
            <w:proofErr w:type="spellEnd"/>
            <w:r w:rsidR="001B1324"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50DD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1B1324" w:rsidRPr="001B1324" w14:paraId="64F1BB58" w14:textId="77777777" w:rsidTr="001B1324">
        <w:trPr>
          <w:trHeight w:val="2325"/>
          <w:jc w:val="center"/>
        </w:trPr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498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Байгалийн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гамшиг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Ослын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үед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ажиллах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ИТА,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ажилчдын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ажиллагааны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төлөвлөгөө</w:t>
            </w:r>
            <w:proofErr w:type="spellEnd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гар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7476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Ажилчид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9327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986" w14:textId="77777777" w:rsidR="001B1324" w:rsidRPr="001B1324" w:rsidRDefault="001B1324" w:rsidP="001B13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B132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</w:tbl>
    <w:p w14:paraId="4743C550" w14:textId="77777777" w:rsidR="001B1324" w:rsidRDefault="001B1324" w:rsidP="001B1324">
      <w:pPr>
        <w:rPr>
          <w:lang w:val="mn-MN"/>
        </w:rPr>
      </w:pPr>
    </w:p>
    <w:p w14:paraId="5B8A1ABB" w14:textId="6FD1D05D" w:rsidR="001E3952" w:rsidRDefault="001E3952" w:rsidP="001E3952">
      <w:pPr>
        <w:jc w:val="right"/>
        <w:rPr>
          <w:rFonts w:ascii="Arial" w:hAnsi="Arial" w:cs="Arial"/>
          <w:lang w:val="mn-MN"/>
        </w:rPr>
      </w:pPr>
      <w:r w:rsidRPr="001E3952">
        <w:rPr>
          <w:rFonts w:ascii="Arial" w:hAnsi="Arial" w:cs="Arial"/>
          <w:lang w:val="mn-MN"/>
        </w:rPr>
        <w:t xml:space="preserve">Хүснэгт 3. Хог хаягдлын менежментийн төлөвлөгөө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734"/>
        <w:gridCol w:w="1916"/>
        <w:gridCol w:w="1650"/>
        <w:gridCol w:w="2220"/>
        <w:gridCol w:w="2398"/>
      </w:tblGrid>
      <w:tr w:rsidR="001E3952" w:rsidRPr="001E3952" w14:paraId="4F1B5181" w14:textId="77777777" w:rsidTr="001E3952">
        <w:trPr>
          <w:trHeight w:val="76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96232A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Гол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болзошгүй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сөрөг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нөлөөлөл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CCFBA74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Авч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хэрэгжүүлэх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арга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830D6D3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Арга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хэмжээний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цар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4AE1898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Арга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хэмжээний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хэрэгжүүлэлт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биелэлт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5F2650C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Хэрэгжүүлэх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хугацаа</w:t>
            </w:r>
            <w:proofErr w:type="spellEnd"/>
          </w:p>
        </w:tc>
      </w:tr>
      <w:tr w:rsidR="001E3952" w:rsidRPr="001E3952" w14:paraId="03ADF07E" w14:textId="77777777" w:rsidTr="001E3952">
        <w:trPr>
          <w:trHeight w:val="2565"/>
        </w:trPr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9B07" w14:textId="77777777" w:rsidR="001E3952" w:rsidRPr="001E3952" w:rsidRDefault="001E3952" w:rsidP="001E39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Ахуйн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хатуу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хаягдлын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задгай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хаясанаас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орчныг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бохирдуулах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3B39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нутагтай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тээвэрлэх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гэрээний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дагуу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ангилан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ялгасан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холихгүйгээр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тээвэрлүүлэх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F831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Ахуйн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144B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Ажлын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5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өдөр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үйлдвэрээс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proofErr w:type="gram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гарсан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ахуйн</w:t>
            </w:r>
            <w:proofErr w:type="spellEnd"/>
            <w:proofErr w:type="gram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хогын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дээр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устгалд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оруулдаг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654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1E3952" w:rsidRPr="001E3952" w14:paraId="32CECCCF" w14:textId="77777777" w:rsidTr="001E3952">
        <w:trPr>
          <w:trHeight w:val="1545"/>
        </w:trPr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BB6F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6ADE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Улирал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нийт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ажилчдыг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хамруулан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ойр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орчны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хатуу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хаяглыг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цэвэрлэж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7C72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түүний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ойр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орчны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багадаа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50-500 м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B4A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Их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зогсолт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цэвэрлэгээг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улирал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хийдэг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албадууд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ээлжийн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ажилтнууд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хамрагддаг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F99D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1E3952" w:rsidRPr="001E3952" w14:paraId="205D186F" w14:textId="77777777" w:rsidTr="001E3952">
        <w:trPr>
          <w:trHeight w:val="23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F3B2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Ахуйн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аюултай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CCFB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Батерейны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цуглуулах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сав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байршуулах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цугларсан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батерейг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бүлэг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6.4</w:t>
            </w: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зөвлөсөн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газарт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өгөх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8071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ажилчдын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хэрэглээнээс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гарсан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батерей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3EEC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Үйлдэвэрийн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орчинд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оффисуудад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хэрэглээнээс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гарсан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батерей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савыг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байршуулж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өгсөн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5B3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1E3952" w:rsidRPr="001E3952" w14:paraId="56F198B4" w14:textId="77777777" w:rsidTr="001E3952">
        <w:trPr>
          <w:trHeight w:val="382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1D16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Үйлдвэрлэлийн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хатуу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удаан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хугацаанд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орчинд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цуглуулан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орчны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өнгө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үзэмжийг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доройтуулах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бохирдуулах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A8C3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Техник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тоног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төхөөрөмж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анги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,</w:t>
            </w: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дугуй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зэрэг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хаягдлуудыг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нэгт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цуглуулан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хоёрдогч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түүхий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хүлээн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авах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цэгүүдэд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нийлүүлэх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D86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Төслийн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хүрээнд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гарах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үйлдвэрлэлийн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дахин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боломжит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хаягдлууд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91F9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Дахин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боловсруулах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боломжтой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хаягдлуудыг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"ЭС И ЭС ЭЛ СМАРТ" ХХК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буюу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хуванцар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лаазын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дахин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боловсруулах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үйлдвэрт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гэрээний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дагуу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хүлээлгэн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өгдөг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Техник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тоног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төхөөрөмж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эд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ангийн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хаягдлуудыг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акталсан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тохиолдолд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тушаадаг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. 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AD56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1E3952" w:rsidRPr="001E3952" w14:paraId="6A616FBE" w14:textId="77777777" w:rsidTr="001E3952">
        <w:trPr>
          <w:trHeight w:val="318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0C7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маслаар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хөрс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бохирдох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болзошгүй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5E88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ашигласан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маслийг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нэвчих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материалтай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сав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байршуулан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цуглуулах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891B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Засварын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цехд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BAD4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Тээврийн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хэрэгслийн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ашигласан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маслийг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нэвчих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материалтай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саванд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цуглуулан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"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Алтан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оршихуй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групп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" ХХК-д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техникийн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тосолгооны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шингэнийг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гэрээнд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заасан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хугацааны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дагуу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хүлээлгэн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өгдөг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80C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2022-2026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</w:t>
            </w:r>
            <w:proofErr w:type="spellEnd"/>
          </w:p>
        </w:tc>
      </w:tr>
      <w:tr w:rsidR="001E3952" w:rsidRPr="001E3952" w14:paraId="110A917D" w14:textId="77777777" w:rsidTr="001E3952">
        <w:trPr>
          <w:trHeight w:val="280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AC62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усны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бохирдуулагч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бодисууд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нь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стандартаас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хэтэрсэн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A0CB5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байршилд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цэвэршүүлэх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3</w:t>
            </w: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шатлал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бүхий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септик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байгууламжийг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байршуулж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ашиглах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652D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5EFE" w14:textId="77777777" w:rsidR="001E3952" w:rsidRPr="001E3952" w:rsidRDefault="001E3952" w:rsidP="001E3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2026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онд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үйлдвэрийн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хүчин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чадлаас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хамаарч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өдөрт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гарах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хаягдал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бохир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усыг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механик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болон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биологийн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цэвэрлэгээр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цэвэрлэдэг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цэвэрлэх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байгууламж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суурьлуулах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ажил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судалгааны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түвшинд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явагдаж</w:t>
            </w:r>
            <w:proofErr w:type="spellEnd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1E395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байна</w:t>
            </w:r>
            <w:proofErr w:type="spellEnd"/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02A1" w14:textId="2953BEB6" w:rsidR="001E3952" w:rsidRPr="001E3952" w:rsidRDefault="001E3952" w:rsidP="001E395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AB1D96" w14:textId="77777777" w:rsidR="001E3952" w:rsidRDefault="001E3952" w:rsidP="001E3952">
      <w:pPr>
        <w:rPr>
          <w:rFonts w:ascii="Arial" w:hAnsi="Arial" w:cs="Arial"/>
          <w:lang w:val="mn-MN"/>
        </w:rPr>
      </w:pPr>
    </w:p>
    <w:p w14:paraId="552B9243" w14:textId="599F9DDB" w:rsidR="001E3952" w:rsidRDefault="001E3952" w:rsidP="001E3952">
      <w:pPr>
        <w:rPr>
          <w:rFonts w:ascii="Arial" w:hAnsi="Arial" w:cs="Arial"/>
          <w:b/>
          <w:bCs/>
          <w:lang w:val="mn-MN"/>
        </w:rPr>
      </w:pPr>
      <w:r w:rsidRPr="001E3952">
        <w:rPr>
          <w:rFonts w:ascii="Arial" w:hAnsi="Arial" w:cs="Arial"/>
          <w:b/>
          <w:bCs/>
          <w:lang w:val="mn-MN"/>
        </w:rPr>
        <w:t>Үр дүн</w:t>
      </w:r>
      <w:r>
        <w:rPr>
          <w:rFonts w:ascii="Arial" w:hAnsi="Arial" w:cs="Arial"/>
          <w:b/>
          <w:bCs/>
          <w:lang w:val="mn-MN"/>
        </w:rPr>
        <w:t>, дүгнэлт</w:t>
      </w:r>
    </w:p>
    <w:p w14:paraId="274FE33E" w14:textId="3F03AE8D" w:rsidR="001E3952" w:rsidRPr="001E3952" w:rsidRDefault="001E3952" w:rsidP="001E395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“Талх Чихэр</w:t>
      </w:r>
      <w:r>
        <w:rPr>
          <w:rFonts w:ascii="Arial" w:hAnsi="Arial" w:cs="Arial"/>
        </w:rPr>
        <w:t>”</w:t>
      </w:r>
      <w:r>
        <w:rPr>
          <w:rFonts w:ascii="Arial" w:hAnsi="Arial" w:cs="Arial"/>
          <w:lang w:val="mn-MN"/>
        </w:rPr>
        <w:t xml:space="preserve"> ХК нь 2024 онд БОМТ-ны дагуу амжилттай ажиллаж, </w:t>
      </w:r>
      <w:r w:rsidR="00D27DD6">
        <w:rPr>
          <w:rFonts w:ascii="Arial" w:hAnsi="Arial" w:cs="Arial"/>
          <w:lang w:val="mn-MN"/>
        </w:rPr>
        <w:t xml:space="preserve">сөрөг нөлөөллийг бууруулах, нөхөн сэргээх арга хэмжээг </w:t>
      </w:r>
      <w:r w:rsidR="00446ED2">
        <w:rPr>
          <w:rFonts w:ascii="Arial" w:hAnsi="Arial" w:cs="Arial"/>
          <w:lang w:val="mn-MN"/>
        </w:rPr>
        <w:t xml:space="preserve">зорилгоо болгон </w:t>
      </w:r>
      <w:r w:rsidR="00D27DD6">
        <w:rPr>
          <w:rFonts w:ascii="Arial" w:hAnsi="Arial" w:cs="Arial"/>
          <w:lang w:val="mn-MN"/>
        </w:rPr>
        <w:t>ажиллаж чадлаа. БОМТ 2024-ын хүрээнд биелэгдээгүй болон цаашид сайжруулах үйл ажиллагааг БОМТ 2025 төлөвлөгөөн</w:t>
      </w:r>
      <w:r w:rsidR="00446ED2">
        <w:rPr>
          <w:rFonts w:ascii="Arial" w:hAnsi="Arial" w:cs="Arial"/>
          <w:lang w:val="mn-MN"/>
        </w:rPr>
        <w:t>д</w:t>
      </w:r>
      <w:r w:rsidR="00D27DD6">
        <w:rPr>
          <w:rFonts w:ascii="Arial" w:hAnsi="Arial" w:cs="Arial"/>
          <w:lang w:val="mn-MN"/>
        </w:rPr>
        <w:t xml:space="preserve"> тусгав.</w:t>
      </w:r>
    </w:p>
    <w:sectPr w:rsidR="001E3952" w:rsidRPr="001E3952" w:rsidSect="00426EDF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458FC" w14:textId="77777777" w:rsidR="00F04C70" w:rsidRDefault="00F04C70" w:rsidP="004E7B83">
      <w:pPr>
        <w:spacing w:after="0" w:line="240" w:lineRule="auto"/>
      </w:pPr>
      <w:r>
        <w:separator/>
      </w:r>
    </w:p>
  </w:endnote>
  <w:endnote w:type="continuationSeparator" w:id="0">
    <w:p w14:paraId="3C51E1A8" w14:textId="77777777" w:rsidR="00F04C70" w:rsidRDefault="00F04C70" w:rsidP="004E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4370B" w14:textId="77777777" w:rsidR="00F04C70" w:rsidRDefault="00F04C70" w:rsidP="004E7B83">
      <w:pPr>
        <w:spacing w:after="0" w:line="240" w:lineRule="auto"/>
      </w:pPr>
      <w:r>
        <w:separator/>
      </w:r>
    </w:p>
  </w:footnote>
  <w:footnote w:type="continuationSeparator" w:id="0">
    <w:p w14:paraId="2DAD43D8" w14:textId="77777777" w:rsidR="00F04C70" w:rsidRDefault="00F04C70" w:rsidP="004E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76B09" w14:textId="7F40E72D" w:rsidR="004E7B83" w:rsidRDefault="00315B95" w:rsidP="00315B95">
    <w:pPr>
      <w:pStyle w:val="Header"/>
      <w:tabs>
        <w:tab w:val="left" w:pos="540"/>
      </w:tabs>
      <w:jc w:val="right"/>
    </w:pPr>
    <w:r w:rsidRPr="00315B95">
      <w:drawing>
        <wp:inline distT="0" distB="0" distL="0" distR="0" wp14:anchorId="77F19803" wp14:editId="76EAE54A">
          <wp:extent cx="726112" cy="635635"/>
          <wp:effectExtent l="0" t="0" r="0" b="0"/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B0889DB3-275D-4C64-B1DD-58950E5572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>
                    <a:extLst>
                      <a:ext uri="{FF2B5EF4-FFF2-40B4-BE49-F238E27FC236}">
                        <a16:creationId xmlns:a16="http://schemas.microsoft.com/office/drawing/2014/main" id="{B0889DB3-275D-4C64-B1DD-58950E5572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445" cy="639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15B95">
      <w:drawing>
        <wp:inline distT="0" distB="0" distL="0" distR="0" wp14:anchorId="2E4805C2" wp14:editId="546C9288">
          <wp:extent cx="685800" cy="692785"/>
          <wp:effectExtent l="0" t="0" r="0" b="0"/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31D44B22-1BB0-3DB9-C917-DD58930D0E5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31D44B22-1BB0-3DB9-C917-DD58930D0E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B95">
      <w:drawing>
        <wp:inline distT="0" distB="0" distL="0" distR="0" wp14:anchorId="2016B415" wp14:editId="22075ADA">
          <wp:extent cx="726440" cy="692785"/>
          <wp:effectExtent l="0" t="0" r="0" b="0"/>
          <wp:docPr id="10" name="Picture 9">
            <a:extLst xmlns:a="http://schemas.openxmlformats.org/drawingml/2006/main">
              <a:ext uri="{FF2B5EF4-FFF2-40B4-BE49-F238E27FC236}">
                <a16:creationId xmlns:a16="http://schemas.microsoft.com/office/drawing/2014/main" id="{D156FABE-FE2A-7060-40B1-14CD3A0C08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>
                    <a:extLst>
                      <a:ext uri="{FF2B5EF4-FFF2-40B4-BE49-F238E27FC236}">
                        <a16:creationId xmlns:a16="http://schemas.microsoft.com/office/drawing/2014/main" id="{D156FABE-FE2A-7060-40B1-14CD3A0C08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15B95">
      <w:drawing>
        <wp:inline distT="0" distB="0" distL="0" distR="0" wp14:anchorId="43958C67" wp14:editId="5B3829AD">
          <wp:extent cx="704850" cy="692785"/>
          <wp:effectExtent l="0" t="0" r="0" b="0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137A3BA1-9B9B-76C3-F931-45BE0EFD6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137A3BA1-9B9B-76C3-F931-45BE0EFD6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15B95">
      <w:drawing>
        <wp:inline distT="0" distB="0" distL="0" distR="0" wp14:anchorId="441D3A38" wp14:editId="304F4C36">
          <wp:extent cx="801370" cy="692785"/>
          <wp:effectExtent l="0" t="0" r="0" b="0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C3B22375-CE8E-1486-D414-74E4EB50AF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C3B22375-CE8E-1486-D414-74E4EB50AF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9038B"/>
    <w:multiLevelType w:val="hybridMultilevel"/>
    <w:tmpl w:val="33186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733"/>
    <w:multiLevelType w:val="hybridMultilevel"/>
    <w:tmpl w:val="623AA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91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A90337"/>
    <w:multiLevelType w:val="multilevel"/>
    <w:tmpl w:val="FA0AEF2C"/>
    <w:lvl w:ilvl="0">
      <w:start w:val="202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E97321"/>
    <w:multiLevelType w:val="hybridMultilevel"/>
    <w:tmpl w:val="972CD6C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6094016">
    <w:abstractNumId w:val="2"/>
  </w:num>
  <w:num w:numId="2" w16cid:durableId="1786997549">
    <w:abstractNumId w:val="4"/>
  </w:num>
  <w:num w:numId="3" w16cid:durableId="1365984784">
    <w:abstractNumId w:val="0"/>
  </w:num>
  <w:num w:numId="4" w16cid:durableId="73555460">
    <w:abstractNumId w:val="3"/>
  </w:num>
  <w:num w:numId="5" w16cid:durableId="1309434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83"/>
    <w:rsid w:val="00080FA6"/>
    <w:rsid w:val="001B1324"/>
    <w:rsid w:val="001E3952"/>
    <w:rsid w:val="00315B95"/>
    <w:rsid w:val="00426EDF"/>
    <w:rsid w:val="00446ED2"/>
    <w:rsid w:val="00466622"/>
    <w:rsid w:val="004E7B83"/>
    <w:rsid w:val="00506C19"/>
    <w:rsid w:val="005E3E97"/>
    <w:rsid w:val="00911D2E"/>
    <w:rsid w:val="00B16D8D"/>
    <w:rsid w:val="00CC3A8F"/>
    <w:rsid w:val="00D27DD6"/>
    <w:rsid w:val="00F0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FD870E"/>
  <w15:chartTrackingRefBased/>
  <w15:docId w15:val="{366D8544-B9F9-4BE6-9E2D-A8FA0F46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7B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7B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7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7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7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7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7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7B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B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7B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7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7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7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7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7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7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7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7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7B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7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7B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7B8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83"/>
  </w:style>
  <w:style w:type="paragraph" w:styleId="Footer">
    <w:name w:val="footer"/>
    <w:basedOn w:val="Normal"/>
    <w:link w:val="FooterChar"/>
    <w:uiPriority w:val="99"/>
    <w:unhideWhenUsed/>
    <w:rsid w:val="004E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unu amaa</dc:creator>
  <cp:keywords/>
  <dc:description/>
  <cp:lastModifiedBy>unu amaa</cp:lastModifiedBy>
  <cp:revision>2</cp:revision>
  <cp:lastPrinted>2025-04-30T10:05:00Z</cp:lastPrinted>
  <dcterms:created xsi:type="dcterms:W3CDTF">2025-04-30T10:22:00Z</dcterms:created>
  <dcterms:modified xsi:type="dcterms:W3CDTF">2025-04-30T10:22:00Z</dcterms:modified>
</cp:coreProperties>
</file>